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E819" w14:textId="76BE4F16" w:rsidR="00063815" w:rsidRPr="00912834" w:rsidRDefault="00063815">
      <w:pPr>
        <w:rPr>
          <w:rFonts w:ascii="Helvetica" w:hAnsi="Helvetica"/>
          <w:sz w:val="44"/>
          <w:szCs w:val="44"/>
        </w:rPr>
      </w:pPr>
      <w:r w:rsidRPr="00912834">
        <w:rPr>
          <w:rFonts w:ascii="Helvetica" w:hAnsi="Helvetica"/>
          <w:sz w:val="44"/>
          <w:szCs w:val="44"/>
        </w:rPr>
        <w:t>Publications Using Data or Biomaterials from the CLN3 Natural History Study</w:t>
      </w:r>
      <w:r w:rsidR="00912834" w:rsidRPr="00912834">
        <w:rPr>
          <w:rFonts w:ascii="Helvetica" w:hAnsi="Helvetica"/>
          <w:sz w:val="44"/>
          <w:szCs w:val="44"/>
        </w:rPr>
        <w:t xml:space="preserve"> at NIH</w:t>
      </w:r>
    </w:p>
    <w:p w14:paraId="14FBF896" w14:textId="3686AE5A" w:rsidR="00063815" w:rsidRPr="00912834" w:rsidRDefault="00000000">
      <w:pPr>
        <w:rPr>
          <w:rFonts w:ascii="Helvetica" w:hAnsi="Helvetica"/>
          <w:sz w:val="24"/>
          <w:szCs w:val="24"/>
        </w:rPr>
      </w:pPr>
      <w:hyperlink r:id="rId4" w:history="1">
        <w:r w:rsidR="00912834" w:rsidRPr="00912834">
          <w:rPr>
            <w:rStyle w:val="Hyperlink"/>
            <w:rFonts w:ascii="Helvetica" w:hAnsi="Helvetica"/>
            <w:sz w:val="24"/>
            <w:szCs w:val="24"/>
          </w:rPr>
          <w:t>https://clinicaltrials.gov/study/NCT03307304</w:t>
        </w:r>
      </w:hyperlink>
      <w:r w:rsidR="00912834" w:rsidRPr="00912834">
        <w:rPr>
          <w:rFonts w:ascii="Helvetica" w:hAnsi="Helvetica"/>
          <w:sz w:val="24"/>
          <w:szCs w:val="24"/>
        </w:rPr>
        <w:t xml:space="preserve"> </w:t>
      </w:r>
    </w:p>
    <w:p w14:paraId="36876532" w14:textId="77777777" w:rsidR="00063815" w:rsidRPr="00912834" w:rsidRDefault="00063815">
      <w:pPr>
        <w:rPr>
          <w:rFonts w:ascii="Helvetica" w:hAnsi="Helvetica"/>
          <w:sz w:val="24"/>
          <w:szCs w:val="24"/>
        </w:rPr>
      </w:pPr>
    </w:p>
    <w:p w14:paraId="321DD733" w14:textId="49860C01" w:rsidR="00040949" w:rsidRPr="00912834" w:rsidRDefault="00063815">
      <w:pPr>
        <w:rPr>
          <w:rFonts w:ascii="Helvetica" w:hAnsi="Helvetica"/>
          <w:b/>
          <w:bCs/>
          <w:sz w:val="24"/>
          <w:szCs w:val="24"/>
        </w:rPr>
      </w:pPr>
      <w:r w:rsidRPr="00912834">
        <w:rPr>
          <w:rFonts w:ascii="Helvetica" w:hAnsi="Helvetica"/>
          <w:b/>
          <w:bCs/>
          <w:sz w:val="24"/>
          <w:szCs w:val="24"/>
        </w:rPr>
        <w:t>2023</w:t>
      </w:r>
    </w:p>
    <w:p w14:paraId="390A2B02" w14:textId="3895475D" w:rsidR="00063815" w:rsidRPr="00912834" w:rsidRDefault="008156EF" w:rsidP="008156EF">
      <w:pPr>
        <w:rPr>
          <w:rFonts w:ascii="Helvetica" w:hAnsi="Helvetica"/>
          <w:sz w:val="24"/>
          <w:szCs w:val="24"/>
        </w:rPr>
      </w:pPr>
      <w:r w:rsidRPr="00912834">
        <w:rPr>
          <w:rFonts w:ascii="Helvetica" w:hAnsi="Helvetica"/>
          <w:sz w:val="24"/>
          <w:szCs w:val="24"/>
        </w:rPr>
        <w:t xml:space="preserve">Dang Do AN, Sleat DE, Campbell K, Johnson NL, Zheng H, Wassif CA, Dale RK, Porter FD. Cerebrospinal Fluid Protein Biomarker Discovery in CLN3. </w:t>
      </w:r>
      <w:r w:rsidRPr="00912834">
        <w:rPr>
          <w:rFonts w:ascii="Helvetica" w:hAnsi="Helvetica"/>
          <w:i/>
          <w:iCs/>
          <w:sz w:val="24"/>
          <w:szCs w:val="24"/>
        </w:rPr>
        <w:t>J Proteome Res</w:t>
      </w:r>
      <w:r w:rsidRPr="00912834">
        <w:rPr>
          <w:rFonts w:ascii="Helvetica" w:hAnsi="Helvetica"/>
          <w:sz w:val="24"/>
          <w:szCs w:val="24"/>
        </w:rPr>
        <w:t>. 2023 Jul 7;22(7):2493-2508. doi: 10.1021/acs.jproteome.3c00199.</w:t>
      </w:r>
    </w:p>
    <w:p w14:paraId="60ED47B9" w14:textId="7A99258E" w:rsidR="008156EF" w:rsidRPr="00912834" w:rsidRDefault="008156EF" w:rsidP="008156EF">
      <w:pPr>
        <w:rPr>
          <w:rFonts w:ascii="Helvetica" w:hAnsi="Helvetica"/>
          <w:sz w:val="24"/>
          <w:szCs w:val="24"/>
        </w:rPr>
      </w:pPr>
      <w:r w:rsidRPr="00912834">
        <w:rPr>
          <w:rFonts w:ascii="Helvetica" w:hAnsi="Helvetica"/>
          <w:sz w:val="24"/>
          <w:szCs w:val="24"/>
        </w:rPr>
        <w:t xml:space="preserve">Dang Do AN, Baker EH, Farmer CA, Soldatos AG, Thurm AE, Porter FD. Brain proton MR spectroscopy measurements in CLN3 disease. </w:t>
      </w:r>
      <w:r w:rsidRPr="00912834">
        <w:rPr>
          <w:rFonts w:ascii="Helvetica" w:hAnsi="Helvetica"/>
          <w:i/>
          <w:iCs/>
          <w:sz w:val="24"/>
          <w:szCs w:val="24"/>
        </w:rPr>
        <w:t>Mol Genet Metab</w:t>
      </w:r>
      <w:r w:rsidRPr="00912834">
        <w:rPr>
          <w:rFonts w:ascii="Helvetica" w:hAnsi="Helvetica"/>
          <w:sz w:val="24"/>
          <w:szCs w:val="24"/>
        </w:rPr>
        <w:t>. 2023 May;139(1):107584. doi: 10.1016/j.ymgme.2023.107584.</w:t>
      </w:r>
    </w:p>
    <w:p w14:paraId="21D5876B" w14:textId="149544CB" w:rsidR="008156EF" w:rsidRPr="00912834" w:rsidRDefault="008156EF" w:rsidP="008156EF">
      <w:pPr>
        <w:rPr>
          <w:rFonts w:ascii="Helvetica" w:hAnsi="Helvetica"/>
          <w:sz w:val="24"/>
          <w:szCs w:val="24"/>
        </w:rPr>
      </w:pPr>
      <w:r w:rsidRPr="00912834">
        <w:rPr>
          <w:rFonts w:ascii="Helvetica" w:hAnsi="Helvetica"/>
          <w:sz w:val="24"/>
          <w:szCs w:val="24"/>
        </w:rPr>
        <w:t xml:space="preserve">Luckett A, Yousef M, Tifft C, Jenkins K, Smith A, Munoz A, Quimby R, Porter FD, Dang Do AN. Anesthesia outcomes in lysosomal disorders: CLN3 and GM1 gangliosidosis. </w:t>
      </w:r>
      <w:r w:rsidRPr="00912834">
        <w:rPr>
          <w:rFonts w:ascii="Helvetica" w:hAnsi="Helvetica"/>
          <w:i/>
          <w:iCs/>
          <w:sz w:val="24"/>
          <w:szCs w:val="24"/>
        </w:rPr>
        <w:t>Am J Med Genet A</w:t>
      </w:r>
      <w:r w:rsidRPr="00912834">
        <w:rPr>
          <w:rFonts w:ascii="Helvetica" w:hAnsi="Helvetica"/>
          <w:sz w:val="24"/>
          <w:szCs w:val="24"/>
        </w:rPr>
        <w:t>. 2023 Mar;191(3):711-717. doi: 10.1002/ajmg.a.63064.</w:t>
      </w:r>
    </w:p>
    <w:p w14:paraId="4361D0AC" w14:textId="7B7CF512" w:rsidR="00063815" w:rsidRPr="00912834" w:rsidRDefault="00063815">
      <w:pPr>
        <w:rPr>
          <w:rFonts w:ascii="Helvetica" w:hAnsi="Helvetica"/>
          <w:b/>
          <w:bCs/>
          <w:sz w:val="24"/>
          <w:szCs w:val="24"/>
        </w:rPr>
      </w:pPr>
      <w:r w:rsidRPr="00912834">
        <w:rPr>
          <w:rFonts w:ascii="Helvetica" w:hAnsi="Helvetica"/>
          <w:b/>
          <w:bCs/>
          <w:sz w:val="24"/>
          <w:szCs w:val="24"/>
        </w:rPr>
        <w:t>2022</w:t>
      </w:r>
    </w:p>
    <w:p w14:paraId="45A90F8F" w14:textId="509A6B7D" w:rsidR="008156EF" w:rsidRPr="00912834" w:rsidRDefault="008156EF" w:rsidP="008156EF">
      <w:pPr>
        <w:rPr>
          <w:rFonts w:ascii="Helvetica" w:hAnsi="Helvetica"/>
          <w:sz w:val="24"/>
          <w:szCs w:val="24"/>
        </w:rPr>
      </w:pPr>
      <w:r w:rsidRPr="00912834">
        <w:rPr>
          <w:rFonts w:ascii="Helvetica" w:hAnsi="Helvetica"/>
          <w:sz w:val="24"/>
          <w:szCs w:val="24"/>
        </w:rPr>
        <w:t xml:space="preserve">Laqtom NN, Dong W, Medoh UN, Cangelosi AL, Dharamdasani V, Chan SH, Kunchok T, Lewis CA, Heinze I, Tang R, Grimm C, Dang Do AN, Porter FD, Ori A, Sabatini DM, Abu-Remaileh M. CLN3 is required for the clearance of glycerophosphodiesters from lysosomes. </w:t>
      </w:r>
      <w:r w:rsidRPr="00912834">
        <w:rPr>
          <w:rFonts w:ascii="Helvetica" w:hAnsi="Helvetica"/>
          <w:i/>
          <w:iCs/>
          <w:sz w:val="24"/>
          <w:szCs w:val="24"/>
        </w:rPr>
        <w:t>Nature</w:t>
      </w:r>
      <w:r w:rsidRPr="00912834">
        <w:rPr>
          <w:rFonts w:ascii="Helvetica" w:hAnsi="Helvetica"/>
          <w:sz w:val="24"/>
          <w:szCs w:val="24"/>
        </w:rPr>
        <w:t>. 2022 Sep;609(7929):1005-1011. doi: 10.1038/s41586-022-05221-y.</w:t>
      </w:r>
    </w:p>
    <w:p w14:paraId="451853D7" w14:textId="753321EA" w:rsidR="00063815" w:rsidRPr="00912834" w:rsidRDefault="008156EF" w:rsidP="008156EF">
      <w:pPr>
        <w:rPr>
          <w:rFonts w:ascii="Helvetica" w:hAnsi="Helvetica"/>
          <w:sz w:val="24"/>
          <w:szCs w:val="24"/>
        </w:rPr>
      </w:pPr>
      <w:r w:rsidRPr="00912834">
        <w:rPr>
          <w:rFonts w:ascii="Helvetica" w:hAnsi="Helvetica"/>
          <w:sz w:val="24"/>
          <w:szCs w:val="24"/>
        </w:rPr>
        <w:t xml:space="preserve">Brudvig JJ, Swier VJ, Johnson TB, Cain JC, Pratt M, Rechtzigel M, Leppert H, Dang Do AN, Porter FD, Weimer JM. Glycerophosphoinositol is Elevated in Blood Samples From CLN3 Δex7-8 pigs, Cln3 Δex7-8 Mice, and CLN3-Affected Individuals. </w:t>
      </w:r>
      <w:r w:rsidRPr="00912834">
        <w:rPr>
          <w:rFonts w:ascii="Helvetica" w:hAnsi="Helvetica"/>
          <w:i/>
          <w:iCs/>
          <w:sz w:val="24"/>
          <w:szCs w:val="24"/>
        </w:rPr>
        <w:t>Biomark Insights</w:t>
      </w:r>
      <w:r w:rsidRPr="00912834">
        <w:rPr>
          <w:rFonts w:ascii="Helvetica" w:hAnsi="Helvetica"/>
          <w:sz w:val="24"/>
          <w:szCs w:val="24"/>
        </w:rPr>
        <w:t>. 2022 Jun 19;17:11772719221107765. doi: 10.1177/11772719221107765.</w:t>
      </w:r>
    </w:p>
    <w:p w14:paraId="5468ADE3" w14:textId="7FF0088A" w:rsidR="008156EF" w:rsidRPr="00912834" w:rsidRDefault="008156EF" w:rsidP="008156EF">
      <w:pPr>
        <w:rPr>
          <w:rFonts w:ascii="Helvetica" w:hAnsi="Helvetica"/>
          <w:sz w:val="24"/>
          <w:szCs w:val="24"/>
        </w:rPr>
      </w:pPr>
      <w:r w:rsidRPr="00912834">
        <w:rPr>
          <w:rFonts w:ascii="Helvetica" w:hAnsi="Helvetica"/>
          <w:sz w:val="24"/>
          <w:szCs w:val="24"/>
        </w:rPr>
        <w:t xml:space="preserve">Dang Do AN, Thurm AE, Farmer CA, Soldatos AG, Chlebowski CE, O'Reilly JK, Porter FD. Use of the Vineland-3, a measure of adaptive functioning, in CLN3. </w:t>
      </w:r>
      <w:r w:rsidRPr="00912834">
        <w:rPr>
          <w:rFonts w:ascii="Helvetica" w:hAnsi="Helvetica"/>
          <w:i/>
          <w:iCs/>
          <w:sz w:val="24"/>
          <w:szCs w:val="24"/>
        </w:rPr>
        <w:t>Am J Med Genet A</w:t>
      </w:r>
      <w:r w:rsidRPr="00912834">
        <w:rPr>
          <w:rFonts w:ascii="Helvetica" w:hAnsi="Helvetica"/>
          <w:sz w:val="24"/>
          <w:szCs w:val="24"/>
        </w:rPr>
        <w:t>. 2022 Apr;188(4):1056-1064. doi: 10.1002/ajmg.a.62607</w:t>
      </w:r>
    </w:p>
    <w:p w14:paraId="4CD294F5" w14:textId="46CA7F60" w:rsidR="00063815" w:rsidRPr="00912834" w:rsidRDefault="00063815">
      <w:pPr>
        <w:rPr>
          <w:rFonts w:ascii="Helvetica" w:hAnsi="Helvetica"/>
          <w:b/>
          <w:bCs/>
          <w:sz w:val="24"/>
          <w:szCs w:val="24"/>
        </w:rPr>
      </w:pPr>
      <w:r w:rsidRPr="00912834">
        <w:rPr>
          <w:rFonts w:ascii="Helvetica" w:hAnsi="Helvetica"/>
          <w:b/>
          <w:bCs/>
          <w:sz w:val="24"/>
          <w:szCs w:val="24"/>
        </w:rPr>
        <w:t>2021</w:t>
      </w:r>
    </w:p>
    <w:p w14:paraId="3A21D2C0" w14:textId="639CFB17" w:rsidR="008156EF" w:rsidRPr="00912834" w:rsidRDefault="008156EF" w:rsidP="008156EF">
      <w:pPr>
        <w:rPr>
          <w:rFonts w:ascii="Helvetica" w:hAnsi="Helvetica"/>
          <w:sz w:val="24"/>
          <w:szCs w:val="24"/>
          <w:lang w:val="de-DE"/>
        </w:rPr>
      </w:pPr>
      <w:r w:rsidRPr="00912834">
        <w:rPr>
          <w:rFonts w:ascii="Helvetica" w:hAnsi="Helvetica"/>
          <w:sz w:val="24"/>
          <w:szCs w:val="24"/>
        </w:rPr>
        <w:t xml:space="preserve">Abdennadher M, Inati S, Soldatos A, Norato G, Baker EH, Thurm A, Bartolini L, Masvekar R, Theodore W, Bielekova B, Porter FD, Dang Do AN. Seizure phenotype in CLN3 disease and its relation to other neurologic outcome measures. </w:t>
      </w:r>
      <w:r w:rsidRPr="00912834">
        <w:rPr>
          <w:rFonts w:ascii="Helvetica" w:hAnsi="Helvetica"/>
          <w:i/>
          <w:iCs/>
          <w:sz w:val="24"/>
          <w:szCs w:val="24"/>
          <w:lang w:val="de-DE"/>
        </w:rPr>
        <w:t>J Inherit Metab</w:t>
      </w:r>
      <w:r w:rsidRPr="00912834">
        <w:rPr>
          <w:rFonts w:ascii="Helvetica" w:hAnsi="Helvetica"/>
          <w:sz w:val="24"/>
          <w:szCs w:val="24"/>
          <w:lang w:val="de-DE"/>
        </w:rPr>
        <w:t xml:space="preserve"> Dis. 2021 Jul;44(4):1013-1020. doi: 10.1002/jimd.12366.</w:t>
      </w:r>
    </w:p>
    <w:p w14:paraId="5535D08F" w14:textId="7734A81A" w:rsidR="008156EF" w:rsidRPr="00912834" w:rsidRDefault="008156EF" w:rsidP="008156EF">
      <w:pPr>
        <w:rPr>
          <w:rFonts w:ascii="Helvetica" w:hAnsi="Helvetica"/>
          <w:sz w:val="24"/>
          <w:szCs w:val="24"/>
        </w:rPr>
      </w:pPr>
      <w:r w:rsidRPr="00912834">
        <w:rPr>
          <w:rFonts w:ascii="Helvetica" w:hAnsi="Helvetica"/>
          <w:sz w:val="24"/>
          <w:szCs w:val="24"/>
          <w:lang w:val="de-DE"/>
        </w:rPr>
        <w:t xml:space="preserve">Hildenbrand H, Wickstrom J, Parks R, Zampieri C, Nguyen TT, Thurm A, Jenkins K, Alter KE, Matsubara J, Hammond D, Soldatos A, Porter FD, Dang Do AN. </w:t>
      </w:r>
      <w:r w:rsidRPr="00912834">
        <w:rPr>
          <w:rFonts w:ascii="Helvetica" w:hAnsi="Helvetica"/>
          <w:sz w:val="24"/>
          <w:szCs w:val="24"/>
        </w:rPr>
        <w:lastRenderedPageBreak/>
        <w:t xml:space="preserve">Characterizing upper limb function in the context of activities of daily living in CLN3 disease. </w:t>
      </w:r>
      <w:r w:rsidRPr="00912834">
        <w:rPr>
          <w:rFonts w:ascii="Helvetica" w:hAnsi="Helvetica"/>
          <w:i/>
          <w:iCs/>
          <w:sz w:val="24"/>
          <w:szCs w:val="24"/>
        </w:rPr>
        <w:t>Am J Med Genet A</w:t>
      </w:r>
      <w:r w:rsidRPr="00912834">
        <w:rPr>
          <w:rFonts w:ascii="Helvetica" w:hAnsi="Helvetica"/>
          <w:sz w:val="24"/>
          <w:szCs w:val="24"/>
        </w:rPr>
        <w:t>. 2021 May;185(5):1399-1413. doi: 10.1002/ajmg.a.62114.</w:t>
      </w:r>
    </w:p>
    <w:p w14:paraId="0C804BBF" w14:textId="696EA827" w:rsidR="00063815" w:rsidRPr="00912834" w:rsidRDefault="008156EF" w:rsidP="008156EF">
      <w:pPr>
        <w:rPr>
          <w:rFonts w:ascii="Helvetica" w:hAnsi="Helvetica"/>
          <w:sz w:val="24"/>
          <w:szCs w:val="24"/>
        </w:rPr>
      </w:pPr>
      <w:r w:rsidRPr="00912834">
        <w:rPr>
          <w:rFonts w:ascii="Helvetica" w:hAnsi="Helvetica"/>
          <w:sz w:val="24"/>
          <w:szCs w:val="24"/>
          <w:lang w:val="de-DE"/>
        </w:rPr>
        <w:t xml:space="preserve">Dang Do AN, Sinaii N, Masvekar RR, Baker EH, Thurm AE, Soldatos AG, Bianconi SE, Bielekova B, Porter FD. </w:t>
      </w:r>
      <w:r w:rsidRPr="00912834">
        <w:rPr>
          <w:rFonts w:ascii="Helvetica" w:hAnsi="Helvetica"/>
          <w:sz w:val="24"/>
          <w:szCs w:val="24"/>
        </w:rPr>
        <w:t xml:space="preserve">Neurofilament light chain levels correlate with clinical measures in CLN3 disease. </w:t>
      </w:r>
      <w:r w:rsidRPr="00912834">
        <w:rPr>
          <w:rFonts w:ascii="Helvetica" w:hAnsi="Helvetica"/>
          <w:i/>
          <w:iCs/>
          <w:sz w:val="24"/>
          <w:szCs w:val="24"/>
        </w:rPr>
        <w:t>Genet Med</w:t>
      </w:r>
      <w:r w:rsidRPr="00912834">
        <w:rPr>
          <w:rFonts w:ascii="Helvetica" w:hAnsi="Helvetica"/>
          <w:sz w:val="24"/>
          <w:szCs w:val="24"/>
        </w:rPr>
        <w:t>. 2021 Apr;23(4):751-757. doi: 10.1038/s41436-020-01035-3.</w:t>
      </w:r>
    </w:p>
    <w:p w14:paraId="5932767D" w14:textId="05FFC45F" w:rsidR="00063815" w:rsidRPr="00912834" w:rsidRDefault="00063815">
      <w:pPr>
        <w:rPr>
          <w:rFonts w:ascii="Helvetica" w:hAnsi="Helvetica"/>
          <w:b/>
          <w:bCs/>
          <w:sz w:val="24"/>
          <w:szCs w:val="24"/>
        </w:rPr>
      </w:pPr>
      <w:r w:rsidRPr="00912834">
        <w:rPr>
          <w:rFonts w:ascii="Helvetica" w:hAnsi="Helvetica"/>
          <w:b/>
          <w:bCs/>
          <w:sz w:val="24"/>
          <w:szCs w:val="24"/>
        </w:rPr>
        <w:t>2020</w:t>
      </w:r>
    </w:p>
    <w:p w14:paraId="1234D9B4" w14:textId="6D9AAE3D" w:rsidR="008156EF" w:rsidRPr="00912834" w:rsidRDefault="008156EF" w:rsidP="008156EF">
      <w:pPr>
        <w:rPr>
          <w:rFonts w:ascii="Helvetica" w:hAnsi="Helvetica"/>
          <w:sz w:val="24"/>
          <w:szCs w:val="24"/>
        </w:rPr>
      </w:pPr>
      <w:r w:rsidRPr="00912834">
        <w:rPr>
          <w:rFonts w:ascii="Helvetica" w:hAnsi="Helvetica"/>
          <w:sz w:val="24"/>
          <w:szCs w:val="24"/>
        </w:rPr>
        <w:t xml:space="preserve">Centa JL, Jodelka FM, Hinrich AJ, Johnson TB, Ochaba J, Jackson M, Duelli DM, Weimer JM, Rigo F, Hastings ML. Therapeutic efficacy of antisense oligonucleotides in mouse models of CLN3 Batten disease. </w:t>
      </w:r>
      <w:r w:rsidRPr="00912834">
        <w:rPr>
          <w:rFonts w:ascii="Helvetica" w:hAnsi="Helvetica"/>
          <w:i/>
          <w:iCs/>
          <w:sz w:val="24"/>
          <w:szCs w:val="24"/>
        </w:rPr>
        <w:t>Nat Med</w:t>
      </w:r>
      <w:r w:rsidRPr="00912834">
        <w:rPr>
          <w:rFonts w:ascii="Helvetica" w:hAnsi="Helvetica"/>
          <w:sz w:val="24"/>
          <w:szCs w:val="24"/>
        </w:rPr>
        <w:t>. 2020 Sep;26(9):1444-1451. doi: 10.1038/s41591-020-0986-1.</w:t>
      </w:r>
    </w:p>
    <w:sectPr w:rsidR="008156EF" w:rsidRPr="0091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15"/>
    <w:rsid w:val="00040949"/>
    <w:rsid w:val="00063815"/>
    <w:rsid w:val="00501C8B"/>
    <w:rsid w:val="00674B8B"/>
    <w:rsid w:val="008156EF"/>
    <w:rsid w:val="00912834"/>
    <w:rsid w:val="00C9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E1F1"/>
  <w15:chartTrackingRefBased/>
  <w15:docId w15:val="{87080E1E-A320-4326-9828-1530ECDB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EF"/>
    <w:pPr>
      <w:ind w:left="720"/>
      <w:contextualSpacing/>
    </w:pPr>
  </w:style>
  <w:style w:type="character" w:styleId="Hyperlink">
    <w:name w:val="Hyperlink"/>
    <w:basedOn w:val="DefaultParagraphFont"/>
    <w:uiPriority w:val="99"/>
    <w:unhideWhenUsed/>
    <w:rsid w:val="00912834"/>
    <w:rPr>
      <w:color w:val="0563C1" w:themeColor="hyperlink"/>
      <w:u w:val="single"/>
    </w:rPr>
  </w:style>
  <w:style w:type="character" w:styleId="UnresolvedMention">
    <w:name w:val="Unresolved Mention"/>
    <w:basedOn w:val="DefaultParagraphFont"/>
    <w:uiPriority w:val="99"/>
    <w:semiHidden/>
    <w:unhideWhenUsed/>
    <w:rsid w:val="0091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nicaltrials.gov/study/NCT03307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NICHD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Do, An (NIH/NICHD) [E]</dc:creator>
  <cp:keywords/>
  <dc:description/>
  <cp:lastModifiedBy>Emily Armstrong</cp:lastModifiedBy>
  <cp:revision>2</cp:revision>
  <dcterms:created xsi:type="dcterms:W3CDTF">2024-02-01T19:13:00Z</dcterms:created>
  <dcterms:modified xsi:type="dcterms:W3CDTF">2024-02-01T19:13:00Z</dcterms:modified>
</cp:coreProperties>
</file>